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BF" w:rsidRPr="00F80049" w:rsidRDefault="00717989" w:rsidP="00717989">
      <w:pPr>
        <w:jc w:val="center"/>
        <w:rPr>
          <w:b/>
          <w:lang w:val="ka-GE"/>
        </w:rPr>
      </w:pPr>
      <w:r w:rsidRPr="00F80049">
        <w:rPr>
          <w:b/>
          <w:lang w:val="ka-GE"/>
        </w:rPr>
        <w:t>ჯანდაცვის სამინისტრო სამართლიანად და გამჭვრივალედ თანამშრომლობს სადაზღევვო სექტორთან თითოეული მოქალაქის ინტერესის გათვალისწინებით</w:t>
      </w:r>
    </w:p>
    <w:p w:rsidR="00717989" w:rsidRDefault="00717989" w:rsidP="00464682">
      <w:pPr>
        <w:jc w:val="both"/>
        <w:rPr>
          <w:lang w:val="ka-GE"/>
        </w:rPr>
      </w:pPr>
    </w:p>
    <w:p w:rsidR="00287C30" w:rsidRDefault="00717989" w:rsidP="00464682">
      <w:pPr>
        <w:jc w:val="both"/>
        <w:rPr>
          <w:lang w:val="ka-GE"/>
        </w:rPr>
      </w:pPr>
      <w:r>
        <w:rPr>
          <w:lang w:val="ka-GE"/>
        </w:rPr>
        <w:t>საქართველოს შრომის, ჯანმრთელობისა და სოციალური დაცვის</w:t>
      </w:r>
      <w:r w:rsidR="00212DB1">
        <w:rPr>
          <w:lang w:val="ka-GE"/>
        </w:rPr>
        <w:t xml:space="preserve"> სამინისტრო ეხმიანება </w:t>
      </w:r>
      <w:r w:rsidR="00287C30">
        <w:rPr>
          <w:lang w:val="ka-GE"/>
        </w:rPr>
        <w:t>ფორ.ჯი ზე გამოქვეყნებულ სტატიას „ჯანდაცვის გაძ</w:t>
      </w:r>
      <w:r w:rsidR="00F80049">
        <w:rPr>
          <w:lang w:val="ka-GE"/>
        </w:rPr>
        <w:t>ვ</w:t>
      </w:r>
      <w:r w:rsidR="00287C30">
        <w:rPr>
          <w:lang w:val="ka-GE"/>
        </w:rPr>
        <w:t>ირებით ხალხიც დაზარალდა და ბიზნესიც“ და მასში გა</w:t>
      </w:r>
      <w:r>
        <w:rPr>
          <w:lang w:val="ka-GE"/>
        </w:rPr>
        <w:t>მ</w:t>
      </w:r>
      <w:r w:rsidR="00287C30">
        <w:rPr>
          <w:lang w:val="ka-GE"/>
        </w:rPr>
        <w:t xml:space="preserve">ოთქმულ მოსაზრებებს. </w:t>
      </w:r>
    </w:p>
    <w:p w:rsidR="00212DB1" w:rsidRDefault="00212DB1" w:rsidP="00464682">
      <w:pPr>
        <w:jc w:val="both"/>
        <w:rPr>
          <w:lang w:val="ka-GE"/>
        </w:rPr>
      </w:pPr>
      <w:r>
        <w:rPr>
          <w:lang w:val="ka-GE"/>
        </w:rPr>
        <w:t xml:space="preserve">უცვლელად გთავაზობთ სამინისტროს პოზიციას. </w:t>
      </w:r>
    </w:p>
    <w:p w:rsidR="00893A48" w:rsidRDefault="00717989" w:rsidP="00893A48">
      <w:pPr>
        <w:jc w:val="both"/>
        <w:rPr>
          <w:lang w:val="ka-GE"/>
        </w:rPr>
      </w:pPr>
      <w:r>
        <w:rPr>
          <w:color w:val="000000" w:themeColor="text1"/>
          <w:lang w:val="ka-GE"/>
        </w:rPr>
        <w:t xml:space="preserve">ჯანდაცვის </w:t>
      </w:r>
      <w:r w:rsidR="00EA135A" w:rsidRPr="00287C30">
        <w:rPr>
          <w:color w:val="000000" w:themeColor="text1"/>
          <w:lang w:val="ka-GE"/>
        </w:rPr>
        <w:t>სამინისტრო ნათლად აცნობიერებს, რომ</w:t>
      </w:r>
      <w:r w:rsidR="00B52F11" w:rsidRPr="00287C30">
        <w:rPr>
          <w:color w:val="000000" w:themeColor="text1"/>
          <w:lang w:val="ka-GE"/>
        </w:rPr>
        <w:t xml:space="preserve"> </w:t>
      </w:r>
      <w:r w:rsidR="003272C3">
        <w:rPr>
          <w:lang w:val="ka-GE"/>
        </w:rPr>
        <w:t xml:space="preserve">სადაზღვევო ინდუსტრია ჯანდაცვის მთლიანი სისტემის მნიშვნელოვანი ნაწილია და მის მდგრადობაზე  </w:t>
      </w:r>
      <w:r w:rsidR="003272C3" w:rsidRPr="004931F1">
        <w:rPr>
          <w:lang w:val="ka-GE"/>
        </w:rPr>
        <w:t>დამოკიდებული</w:t>
      </w:r>
      <w:r w:rsidR="00EA135A" w:rsidRPr="004931F1">
        <w:rPr>
          <w:lang w:val="ka-GE"/>
        </w:rPr>
        <w:t>ა</w:t>
      </w:r>
      <w:r w:rsidR="003272C3" w:rsidRPr="004931F1">
        <w:rPr>
          <w:lang w:val="ka-GE"/>
        </w:rPr>
        <w:t xml:space="preserve"> მთ</w:t>
      </w:r>
      <w:r w:rsidR="00624DC4" w:rsidRPr="004931F1">
        <w:rPr>
          <w:lang w:val="ka-GE"/>
        </w:rPr>
        <w:t xml:space="preserve">ელი </w:t>
      </w:r>
      <w:r w:rsidR="003272C3" w:rsidRPr="004931F1">
        <w:rPr>
          <w:lang w:val="ka-GE"/>
        </w:rPr>
        <w:t xml:space="preserve"> </w:t>
      </w:r>
      <w:r w:rsidR="003272C3">
        <w:rPr>
          <w:lang w:val="ka-GE"/>
        </w:rPr>
        <w:t>სისტემის გამართული და ეფექ</w:t>
      </w:r>
      <w:r w:rsidR="003272C3" w:rsidRPr="00893A48">
        <w:rPr>
          <w:lang w:val="ka-GE"/>
        </w:rPr>
        <w:t>ტ</w:t>
      </w:r>
      <w:r w:rsidR="00893A48" w:rsidRPr="00893A48">
        <w:rPr>
          <w:lang w:val="ka-GE"/>
        </w:rPr>
        <w:t>იანი</w:t>
      </w:r>
      <w:r w:rsidR="003272C3">
        <w:rPr>
          <w:lang w:val="ka-GE"/>
        </w:rPr>
        <w:t xml:space="preserve"> მუშაობა.  </w:t>
      </w:r>
      <w:r w:rsidR="00B52F11">
        <w:rPr>
          <w:lang w:val="ka-GE"/>
        </w:rPr>
        <w:t xml:space="preserve"> </w:t>
      </w:r>
      <w:r w:rsidR="003272C3">
        <w:rPr>
          <w:lang w:val="ka-GE"/>
        </w:rPr>
        <w:t xml:space="preserve">სახელმწიფო პროგრამები, მათ შორის, საყოველთაო ჯანდაცვის პროგრამა მიმართულია </w:t>
      </w:r>
      <w:r w:rsidR="00893A48">
        <w:rPr>
          <w:lang w:val="ka-GE"/>
        </w:rPr>
        <w:t xml:space="preserve"> თითოეულ</w:t>
      </w:r>
      <w:r w:rsidR="003272C3">
        <w:rPr>
          <w:lang w:val="ka-GE"/>
        </w:rPr>
        <w:t xml:space="preserve"> </w:t>
      </w:r>
      <w:r w:rsidR="00893A48">
        <w:rPr>
          <w:lang w:val="ka-GE"/>
        </w:rPr>
        <w:t xml:space="preserve">მოქალაქეზე </w:t>
      </w:r>
      <w:r w:rsidR="00893A48" w:rsidRPr="00893A48">
        <w:rPr>
          <w:lang w:val="ka-GE"/>
        </w:rPr>
        <w:t>ზრუნვისაკენ</w:t>
      </w:r>
      <w:r w:rsidR="003272C3">
        <w:rPr>
          <w:lang w:val="ka-GE"/>
        </w:rPr>
        <w:t>,</w:t>
      </w:r>
      <w:r w:rsidR="00893A48">
        <w:rPr>
          <w:lang w:val="ka-GE"/>
        </w:rPr>
        <w:t xml:space="preserve"> </w:t>
      </w:r>
      <w:r w:rsidR="003272C3">
        <w:rPr>
          <w:lang w:val="ka-GE"/>
        </w:rPr>
        <w:t xml:space="preserve"> </w:t>
      </w:r>
      <w:r w:rsidR="00893A48">
        <w:rPr>
          <w:lang w:val="ka-GE"/>
        </w:rPr>
        <w:t xml:space="preserve">თუმცა ამ პროცესში გათვალისწინებულია </w:t>
      </w:r>
      <w:r w:rsidR="003272C3">
        <w:rPr>
          <w:lang w:val="ka-GE"/>
        </w:rPr>
        <w:t xml:space="preserve">ბიზნეს სექტორის, მათ შორის </w:t>
      </w:r>
      <w:r w:rsidR="006E544B">
        <w:rPr>
          <w:lang w:val="ka-GE"/>
        </w:rPr>
        <w:t>კერ</w:t>
      </w:r>
      <w:r w:rsidR="003272C3">
        <w:rPr>
          <w:lang w:val="ka-GE"/>
        </w:rPr>
        <w:t>ძ</w:t>
      </w:r>
      <w:r w:rsidR="006E544B">
        <w:rPr>
          <w:lang w:val="ka-GE"/>
        </w:rPr>
        <w:t>ო სადაზღვევო კომპანიები</w:t>
      </w:r>
      <w:r w:rsidR="003272C3">
        <w:rPr>
          <w:lang w:val="ka-GE"/>
        </w:rPr>
        <w:t xml:space="preserve">ს </w:t>
      </w:r>
      <w:r w:rsidR="00893A48">
        <w:rPr>
          <w:lang w:val="ka-GE"/>
        </w:rPr>
        <w:t xml:space="preserve">ინტერესებიც. </w:t>
      </w:r>
      <w:r w:rsidR="00464682">
        <w:rPr>
          <w:lang w:val="ka-GE"/>
        </w:rPr>
        <w:t>შესაბამისად</w:t>
      </w:r>
      <w:r w:rsidR="003272C3">
        <w:rPr>
          <w:lang w:val="ka-GE"/>
        </w:rPr>
        <w:t>, ს</w:t>
      </w:r>
      <w:r w:rsidR="005E539F">
        <w:rPr>
          <w:lang w:val="ka-GE"/>
        </w:rPr>
        <w:t>ა</w:t>
      </w:r>
      <w:r w:rsidR="003272C3">
        <w:rPr>
          <w:lang w:val="ka-GE"/>
        </w:rPr>
        <w:t xml:space="preserve">ხელმწიფოს </w:t>
      </w:r>
      <w:r w:rsidR="00464682">
        <w:rPr>
          <w:lang w:val="ka-GE"/>
        </w:rPr>
        <w:t xml:space="preserve"> დამოკიდებულება სადაზღვევო ინდუსტრიასთან </w:t>
      </w:r>
      <w:r w:rsidR="003272C3">
        <w:rPr>
          <w:lang w:val="ka-GE"/>
        </w:rPr>
        <w:t>ერთმნიშვნელოვნად</w:t>
      </w:r>
      <w:r w:rsidR="00464682">
        <w:rPr>
          <w:lang w:val="ka-GE"/>
        </w:rPr>
        <w:t xml:space="preserve"> პარტნიორულია</w:t>
      </w:r>
      <w:r w:rsidR="005E539F">
        <w:rPr>
          <w:lang w:val="ka-GE"/>
        </w:rPr>
        <w:t xml:space="preserve">. ამას </w:t>
      </w:r>
      <w:r w:rsidR="00464682">
        <w:rPr>
          <w:lang w:val="ka-GE"/>
        </w:rPr>
        <w:t xml:space="preserve">ადასტურებს ბოლო წლებში </w:t>
      </w:r>
      <w:r w:rsidR="005E539F">
        <w:rPr>
          <w:lang w:val="ka-GE"/>
        </w:rPr>
        <w:t xml:space="preserve">სახელმწიფოს მიერ გატარებული </w:t>
      </w:r>
      <w:r w:rsidR="00EA135A" w:rsidRPr="00287C30">
        <w:rPr>
          <w:color w:val="000000" w:themeColor="text1"/>
          <w:lang w:val="ka-GE"/>
        </w:rPr>
        <w:t>მნიშვნელოვანი</w:t>
      </w:r>
      <w:r w:rsidR="00EA135A" w:rsidRPr="00EA135A">
        <w:rPr>
          <w:color w:val="FF0000"/>
          <w:lang w:val="ka-GE"/>
        </w:rPr>
        <w:t xml:space="preserve"> </w:t>
      </w:r>
      <w:r w:rsidR="005E539F">
        <w:rPr>
          <w:lang w:val="ka-GE"/>
        </w:rPr>
        <w:t xml:space="preserve">ღონისძიებები,  </w:t>
      </w:r>
      <w:r w:rsidR="00464682">
        <w:rPr>
          <w:lang w:val="ka-GE"/>
        </w:rPr>
        <w:t xml:space="preserve"> </w:t>
      </w:r>
      <w:r w:rsidR="00B52F11">
        <w:rPr>
          <w:lang w:val="ka-GE"/>
        </w:rPr>
        <w:t>რომლებიც  სადაზღვევო კომპანიების ფინანსურ</w:t>
      </w:r>
      <w:r w:rsidR="006E544B">
        <w:rPr>
          <w:lang w:val="ka-GE"/>
        </w:rPr>
        <w:t>ი</w:t>
      </w:r>
      <w:r w:rsidR="00B52F11">
        <w:rPr>
          <w:lang w:val="ka-GE"/>
        </w:rPr>
        <w:t xml:space="preserve"> </w:t>
      </w:r>
      <w:r w:rsidR="006E544B">
        <w:rPr>
          <w:lang w:val="ka-GE"/>
        </w:rPr>
        <w:t>სტაბილურობის</w:t>
      </w:r>
      <w:r w:rsidR="005E539F">
        <w:rPr>
          <w:lang w:val="ka-GE"/>
        </w:rPr>
        <w:t xml:space="preserve"> გარანტი</w:t>
      </w:r>
      <w:r w:rsidR="00B52F11">
        <w:rPr>
          <w:lang w:val="ka-GE"/>
        </w:rPr>
        <w:t>, რიგ შემთხვევაშ</w:t>
      </w:r>
      <w:r w:rsidR="006E544B">
        <w:rPr>
          <w:lang w:val="ka-GE"/>
        </w:rPr>
        <w:t>ი</w:t>
      </w:r>
      <w:r w:rsidR="00B52F11">
        <w:rPr>
          <w:lang w:val="ka-GE"/>
        </w:rPr>
        <w:t xml:space="preserve"> კი სირთულეებიდან გამოსავალიც კი გახდა.</w:t>
      </w:r>
      <w:r w:rsidR="00893A48">
        <w:rPr>
          <w:lang w:val="ka-GE"/>
        </w:rPr>
        <w:t xml:space="preserve"> </w:t>
      </w:r>
      <w:hyperlink r:id="rId5" w:history="1">
        <w:r w:rsidR="00893A48" w:rsidRPr="00893A48">
          <w:rPr>
            <w:rStyle w:val="Hyperlink"/>
            <w:lang w:val="ka-GE"/>
          </w:rPr>
          <w:t>http://www.moh.gov.ge/ka/news/2905/-cvlilebebi-sayovelTao-jandacvis-programaSi--</w:t>
        </w:r>
      </w:hyperlink>
      <w:r w:rsidR="00B52F11">
        <w:rPr>
          <w:lang w:val="ka-GE"/>
        </w:rPr>
        <w:t xml:space="preserve"> </w:t>
      </w:r>
    </w:p>
    <w:p w:rsidR="00E648B8" w:rsidRPr="004931F1" w:rsidRDefault="00893A48" w:rsidP="00464682">
      <w:pPr>
        <w:jc w:val="both"/>
        <w:rPr>
          <w:lang w:val="ka-GE"/>
        </w:rPr>
      </w:pPr>
      <w:r>
        <w:rPr>
          <w:lang w:val="ka-GE"/>
        </w:rPr>
        <w:t xml:space="preserve">რაც შეეხება </w:t>
      </w:r>
      <w:r w:rsidR="00464682">
        <w:rPr>
          <w:lang w:val="ka-GE"/>
        </w:rPr>
        <w:t xml:space="preserve">საყოველთაო ჯანდაცვის </w:t>
      </w:r>
      <w:r>
        <w:rPr>
          <w:lang w:val="ka-GE"/>
        </w:rPr>
        <w:t>პროგრამის მ</w:t>
      </w:r>
      <w:r w:rsidR="00464682">
        <w:rPr>
          <w:lang w:val="ka-GE"/>
        </w:rPr>
        <w:t xml:space="preserve">.წ. 1 მაისის </w:t>
      </w:r>
      <w:r>
        <w:rPr>
          <w:lang w:val="ka-GE"/>
        </w:rPr>
        <w:t>ცვლილებებს</w:t>
      </w:r>
      <w:r w:rsidR="00464682">
        <w:rPr>
          <w:lang w:val="ka-GE"/>
        </w:rPr>
        <w:t xml:space="preserve">, </w:t>
      </w:r>
      <w:r>
        <w:rPr>
          <w:lang w:val="ka-GE"/>
        </w:rPr>
        <w:t xml:space="preserve">ამის </w:t>
      </w:r>
      <w:r w:rsidR="00464682">
        <w:rPr>
          <w:lang w:val="ka-GE"/>
        </w:rPr>
        <w:t xml:space="preserve"> თაობაზეც არაერთხელ სხვადასხვა ბიზნეს წრეში - მათ შორის სადაზღვევო ინდუსტრიის მიერაც - აღინიშნა</w:t>
      </w:r>
      <w:r w:rsidR="00050E59">
        <w:rPr>
          <w:lang w:val="ka-GE"/>
        </w:rPr>
        <w:t>,</w:t>
      </w:r>
      <w:r w:rsidR="00464682">
        <w:rPr>
          <w:lang w:val="ka-GE"/>
        </w:rPr>
        <w:t xml:space="preserve"> როგორც წინგადადგმული, პროგრესული ნაბიჯი. </w:t>
      </w:r>
      <w:hyperlink r:id="rId6" w:history="1">
        <w:r w:rsidR="004931F1" w:rsidRPr="004931F1">
          <w:rPr>
            <w:rStyle w:val="Hyperlink"/>
            <w:lang w:val="ka-GE"/>
          </w:rPr>
          <w:t>http://www.moh.gov.ge/ka/news/3633/-daviT-sergeenko-sadazRvevo-industriis-warmomadgenlebs-Sexvda</w:t>
        </w:r>
      </w:hyperlink>
    </w:p>
    <w:p w:rsidR="006B43CC" w:rsidRPr="006B43CC" w:rsidRDefault="00FB1697" w:rsidP="006B43CC">
      <w:pPr>
        <w:jc w:val="both"/>
        <w:rPr>
          <w:color w:val="000000" w:themeColor="text1"/>
          <w:lang w:val="ka-GE"/>
        </w:rPr>
      </w:pPr>
      <w:r w:rsidRPr="006B43CC">
        <w:rPr>
          <w:color w:val="000000" w:themeColor="text1"/>
          <w:lang w:val="ka-GE"/>
        </w:rPr>
        <w:t>მოგეხსენებათ</w:t>
      </w:r>
      <w:r w:rsidR="006B43CC">
        <w:rPr>
          <w:color w:val="000000" w:themeColor="text1"/>
          <w:lang w:val="ka-GE"/>
        </w:rPr>
        <w:t>,</w:t>
      </w:r>
      <w:r w:rsidRPr="006B43CC">
        <w:rPr>
          <w:color w:val="000000" w:themeColor="text1"/>
          <w:lang w:val="ka-GE"/>
        </w:rPr>
        <w:t xml:space="preserve"> მსოფლიოს მა</w:t>
      </w:r>
      <w:r w:rsidR="006B43CC" w:rsidRPr="006B43CC">
        <w:rPr>
          <w:color w:val="000000" w:themeColor="text1"/>
          <w:lang w:val="ka-GE"/>
        </w:rPr>
        <w:t>ს</w:t>
      </w:r>
      <w:r w:rsidRPr="006B43CC">
        <w:rPr>
          <w:color w:val="000000" w:themeColor="text1"/>
          <w:lang w:val="ka-GE"/>
        </w:rPr>
        <w:t>შტაბით იზრდება სამედიცინო მომსახურების ფასები. საქართველოში</w:t>
      </w:r>
      <w:r w:rsidR="006B43CC">
        <w:rPr>
          <w:color w:val="000000" w:themeColor="text1"/>
          <w:lang w:val="ka-GE"/>
        </w:rPr>
        <w:t xml:space="preserve"> მიუხედავად </w:t>
      </w:r>
      <w:r w:rsidRPr="006B43CC">
        <w:rPr>
          <w:color w:val="000000" w:themeColor="text1"/>
          <w:lang w:val="ka-GE"/>
        </w:rPr>
        <w:t xml:space="preserve"> </w:t>
      </w:r>
      <w:r w:rsidR="006B43CC">
        <w:rPr>
          <w:color w:val="000000" w:themeColor="text1"/>
          <w:lang w:val="ka-GE"/>
        </w:rPr>
        <w:t xml:space="preserve">მსოფლიო ტრენდისა და ლარის კურსის ცვლილებისა, </w:t>
      </w:r>
      <w:r w:rsidR="006B43CC" w:rsidRPr="006B43CC">
        <w:rPr>
          <w:color w:val="000000" w:themeColor="text1"/>
          <w:lang w:val="ka-GE"/>
        </w:rPr>
        <w:t xml:space="preserve">აღნიშნულის ზეგავლენა სამედიცინო სერვისების ფასებზე მნიშვნელოვნად დაბალანსებულია, რაც უდაოდ საყოველთაო ჯანდაცვის პროგრამის, როგორც „ერთი გადამხდელი“ -ს დამსახურებაა. </w:t>
      </w:r>
      <w:r w:rsidR="006B43CC">
        <w:rPr>
          <w:color w:val="000000" w:themeColor="text1"/>
          <w:lang w:val="ka-GE"/>
        </w:rPr>
        <w:t>ამ გარეომებას, არაერთი საერთაშორისო ორგანიზაცია ადასტურებს, მათ შორის მსოფლიო ბანკი და ჯანდაცვის მსოფლიო ორგანიზაცია.</w:t>
      </w:r>
    </w:p>
    <w:p w:rsidR="00FB1697" w:rsidRPr="006B43CC" w:rsidRDefault="004931F1" w:rsidP="00464682">
      <w:pPr>
        <w:jc w:val="both"/>
        <w:rPr>
          <w:color w:val="000000" w:themeColor="text1"/>
          <w:lang w:val="ka-GE"/>
        </w:rPr>
      </w:pPr>
      <w:r w:rsidRPr="00F80049">
        <w:rPr>
          <w:color w:val="000000" w:themeColor="text1"/>
          <w:lang w:val="ka-GE"/>
        </w:rPr>
        <w:t>რაც შეეხება სტატისტიკურ მაჩვენებლებს 2016/2017 წლების სამედიცინო დაზღვევის შედარების ჭრილში: როგორც სტატიაშიც არის  აღნიშნული, საქართველოში, ზოგადად, სადაზღვევო შემოსავლები ზრდის ტენდენციით ხასიათდება.</w:t>
      </w:r>
      <w:r w:rsidR="00F14ECD">
        <w:rPr>
          <w:color w:val="000000" w:themeColor="text1"/>
        </w:rPr>
        <w:t xml:space="preserve"> </w:t>
      </w:r>
      <w:r w:rsidR="00F14ECD">
        <w:rPr>
          <w:color w:val="000000" w:themeColor="text1"/>
          <w:lang w:val="ka-GE"/>
        </w:rPr>
        <w:t xml:space="preserve">ქვემოთ მოყვანილი </w:t>
      </w:r>
      <w:r w:rsidR="00F14ECD" w:rsidRPr="00F80049">
        <w:rPr>
          <w:color w:val="000000" w:themeColor="text1"/>
          <w:lang w:val="ka-GE"/>
        </w:rPr>
        <w:t xml:space="preserve">მონაცემი ემყარება მხოლოდ ოფიციალურ სტატისტიკას.  </w:t>
      </w:r>
    </w:p>
    <w:p w:rsidR="006B43CC" w:rsidRPr="00876CB8" w:rsidRDefault="006B43CC" w:rsidP="00464682">
      <w:pPr>
        <w:jc w:val="both"/>
        <w:rPr>
          <w:b/>
          <w:color w:val="FF0000"/>
          <w:lang w:val="ka-GE"/>
        </w:rPr>
      </w:pPr>
    </w:p>
    <w:p w:rsidR="0065298D" w:rsidRDefault="0065298D" w:rsidP="0065298D">
      <w:pPr>
        <w:jc w:val="both"/>
        <w:rPr>
          <w:color w:val="000000" w:themeColor="text1"/>
          <w:highlight w:val="green"/>
          <w:lang w:val="ka-GE"/>
        </w:rPr>
      </w:pPr>
    </w:p>
    <w:p w:rsidR="004931F1" w:rsidRPr="00876CB8" w:rsidRDefault="004931F1" w:rsidP="0065298D">
      <w:pPr>
        <w:jc w:val="both"/>
        <w:rPr>
          <w:color w:val="000000" w:themeColor="text1"/>
          <w:highlight w:val="gre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1"/>
        <w:gridCol w:w="3302"/>
        <w:gridCol w:w="3302"/>
      </w:tblGrid>
      <w:tr w:rsidR="0065298D" w:rsidRPr="004931F1" w:rsidTr="007C7CA6">
        <w:tc>
          <w:tcPr>
            <w:tcW w:w="3301" w:type="dxa"/>
          </w:tcPr>
          <w:p w:rsidR="0065298D" w:rsidRPr="004931F1" w:rsidRDefault="0065298D" w:rsidP="007C7CA6">
            <w:pPr>
              <w:jc w:val="both"/>
              <w:rPr>
                <w:color w:val="000000" w:themeColor="text1"/>
                <w:lang w:val="ka-GE"/>
              </w:rPr>
            </w:pPr>
            <w:r w:rsidRPr="004931F1">
              <w:rPr>
                <w:color w:val="000000" w:themeColor="text1"/>
                <w:lang w:val="ka-GE"/>
              </w:rPr>
              <w:t>ჯანმრთელობის დაზღვევა</w:t>
            </w:r>
          </w:p>
        </w:tc>
        <w:tc>
          <w:tcPr>
            <w:tcW w:w="3302" w:type="dxa"/>
          </w:tcPr>
          <w:p w:rsidR="0065298D" w:rsidRPr="004931F1" w:rsidRDefault="0065298D" w:rsidP="007C7CA6">
            <w:pPr>
              <w:jc w:val="both"/>
              <w:rPr>
                <w:color w:val="000000" w:themeColor="text1"/>
                <w:lang w:val="ka-GE"/>
              </w:rPr>
            </w:pPr>
            <w:r w:rsidRPr="004931F1">
              <w:rPr>
                <w:color w:val="000000" w:themeColor="text1"/>
                <w:lang w:val="ka-GE"/>
              </w:rPr>
              <w:t>2016 წელი - 2 კვარტალი</w:t>
            </w:r>
          </w:p>
        </w:tc>
        <w:tc>
          <w:tcPr>
            <w:tcW w:w="3302" w:type="dxa"/>
          </w:tcPr>
          <w:p w:rsidR="0065298D" w:rsidRPr="004931F1" w:rsidRDefault="0065298D" w:rsidP="007C7CA6">
            <w:pPr>
              <w:jc w:val="both"/>
              <w:rPr>
                <w:color w:val="000000" w:themeColor="text1"/>
                <w:lang w:val="ka-GE"/>
              </w:rPr>
            </w:pPr>
            <w:r w:rsidRPr="004931F1">
              <w:rPr>
                <w:color w:val="000000" w:themeColor="text1"/>
                <w:lang w:val="ka-GE"/>
              </w:rPr>
              <w:t>2017 წელი - 2 კვარტალი</w:t>
            </w:r>
          </w:p>
        </w:tc>
      </w:tr>
      <w:tr w:rsidR="0065298D" w:rsidRPr="004931F1" w:rsidTr="007C7CA6">
        <w:tc>
          <w:tcPr>
            <w:tcW w:w="3301" w:type="dxa"/>
          </w:tcPr>
          <w:p w:rsidR="0065298D" w:rsidRPr="004931F1" w:rsidRDefault="0065298D" w:rsidP="007C7CA6">
            <w:pPr>
              <w:jc w:val="both"/>
              <w:rPr>
                <w:color w:val="000000" w:themeColor="text1"/>
                <w:lang w:val="ka-GE"/>
              </w:rPr>
            </w:pPr>
            <w:r w:rsidRPr="004931F1">
              <w:rPr>
                <w:color w:val="000000" w:themeColor="text1"/>
                <w:lang w:val="ka-GE"/>
              </w:rPr>
              <w:t>გამომუშავებული პრემია</w:t>
            </w:r>
          </w:p>
        </w:tc>
        <w:tc>
          <w:tcPr>
            <w:tcW w:w="3302" w:type="dxa"/>
          </w:tcPr>
          <w:p w:rsidR="0065298D" w:rsidRPr="004931F1" w:rsidRDefault="0065298D" w:rsidP="007C7CA6">
            <w:pPr>
              <w:jc w:val="both"/>
              <w:rPr>
                <w:color w:val="000000" w:themeColor="text1"/>
                <w:lang w:val="ka-GE"/>
              </w:rPr>
            </w:pPr>
            <w:r w:rsidRPr="004931F1">
              <w:rPr>
                <w:color w:val="000000" w:themeColor="text1"/>
                <w:lang w:val="ka-GE"/>
              </w:rPr>
              <w:t>77,609,833</w:t>
            </w:r>
          </w:p>
        </w:tc>
        <w:tc>
          <w:tcPr>
            <w:tcW w:w="3302" w:type="dxa"/>
          </w:tcPr>
          <w:p w:rsidR="0065298D" w:rsidRPr="004931F1" w:rsidRDefault="0065298D" w:rsidP="007C7CA6">
            <w:pPr>
              <w:jc w:val="both"/>
              <w:rPr>
                <w:color w:val="000000" w:themeColor="text1"/>
                <w:lang w:val="ka-GE"/>
              </w:rPr>
            </w:pPr>
            <w:r w:rsidRPr="004931F1">
              <w:rPr>
                <w:color w:val="000000" w:themeColor="text1"/>
                <w:lang w:val="ka-GE"/>
              </w:rPr>
              <w:t xml:space="preserve"> 86,765,880 (ზრდა 10.55%)</w:t>
            </w:r>
          </w:p>
        </w:tc>
      </w:tr>
      <w:tr w:rsidR="0065298D" w:rsidRPr="004931F1" w:rsidTr="007C7CA6">
        <w:tc>
          <w:tcPr>
            <w:tcW w:w="3301" w:type="dxa"/>
          </w:tcPr>
          <w:p w:rsidR="0065298D" w:rsidRPr="004931F1" w:rsidRDefault="0065298D" w:rsidP="007C7CA6">
            <w:pPr>
              <w:jc w:val="both"/>
              <w:rPr>
                <w:color w:val="000000" w:themeColor="text1"/>
                <w:lang w:val="ka-GE"/>
              </w:rPr>
            </w:pPr>
            <w:r w:rsidRPr="004931F1">
              <w:rPr>
                <w:color w:val="000000" w:themeColor="text1"/>
                <w:lang w:val="ka-GE"/>
              </w:rPr>
              <w:t xml:space="preserve">ანაზღ. ზარალი </w:t>
            </w:r>
          </w:p>
        </w:tc>
        <w:tc>
          <w:tcPr>
            <w:tcW w:w="3302" w:type="dxa"/>
          </w:tcPr>
          <w:p w:rsidR="0065298D" w:rsidRPr="004931F1" w:rsidRDefault="0065298D" w:rsidP="007C7CA6">
            <w:pPr>
              <w:jc w:val="both"/>
              <w:rPr>
                <w:color w:val="000000" w:themeColor="text1"/>
                <w:lang w:val="ka-GE"/>
              </w:rPr>
            </w:pPr>
            <w:r w:rsidRPr="004931F1">
              <w:rPr>
                <w:color w:val="000000" w:themeColor="text1"/>
                <w:lang w:val="ka-GE"/>
              </w:rPr>
              <w:t>71,231,086</w:t>
            </w:r>
          </w:p>
        </w:tc>
        <w:tc>
          <w:tcPr>
            <w:tcW w:w="3302" w:type="dxa"/>
          </w:tcPr>
          <w:p w:rsidR="0065298D" w:rsidRPr="004931F1" w:rsidRDefault="0065298D" w:rsidP="007C7CA6">
            <w:pPr>
              <w:jc w:val="both"/>
              <w:rPr>
                <w:color w:val="000000" w:themeColor="text1"/>
                <w:lang w:val="ka-GE"/>
              </w:rPr>
            </w:pPr>
            <w:r w:rsidRPr="004931F1">
              <w:rPr>
                <w:color w:val="000000" w:themeColor="text1"/>
                <w:lang w:val="ka-GE"/>
              </w:rPr>
              <w:t>76,616,059</w:t>
            </w:r>
          </w:p>
        </w:tc>
      </w:tr>
      <w:tr w:rsidR="0065298D" w:rsidRPr="004931F1" w:rsidTr="007C7CA6">
        <w:tc>
          <w:tcPr>
            <w:tcW w:w="3301" w:type="dxa"/>
          </w:tcPr>
          <w:p w:rsidR="0065298D" w:rsidRPr="004931F1" w:rsidRDefault="0065298D" w:rsidP="007C7CA6">
            <w:pPr>
              <w:jc w:val="both"/>
              <w:rPr>
                <w:color w:val="000000" w:themeColor="text1"/>
                <w:lang w:val="ka-GE"/>
              </w:rPr>
            </w:pPr>
            <w:r w:rsidRPr="004931F1">
              <w:rPr>
                <w:color w:val="000000" w:themeColor="text1"/>
                <w:lang w:val="ka-GE"/>
              </w:rPr>
              <w:t xml:space="preserve">საოპერაციო შედეგი </w:t>
            </w:r>
          </w:p>
        </w:tc>
        <w:tc>
          <w:tcPr>
            <w:tcW w:w="3302" w:type="dxa"/>
          </w:tcPr>
          <w:p w:rsidR="0065298D" w:rsidRPr="004931F1" w:rsidRDefault="0065298D" w:rsidP="007C7CA6">
            <w:pPr>
              <w:jc w:val="both"/>
              <w:rPr>
                <w:color w:val="000000" w:themeColor="text1"/>
                <w:lang w:val="ka-GE"/>
              </w:rPr>
            </w:pPr>
            <w:r w:rsidRPr="004931F1">
              <w:rPr>
                <w:color w:val="000000" w:themeColor="text1"/>
                <w:lang w:val="ka-GE"/>
              </w:rPr>
              <w:t xml:space="preserve">6,378,747 </w:t>
            </w:r>
          </w:p>
        </w:tc>
        <w:tc>
          <w:tcPr>
            <w:tcW w:w="3302" w:type="dxa"/>
          </w:tcPr>
          <w:p w:rsidR="0065298D" w:rsidRPr="004931F1" w:rsidRDefault="0065298D" w:rsidP="007C7CA6">
            <w:pPr>
              <w:jc w:val="both"/>
              <w:rPr>
                <w:color w:val="000000" w:themeColor="text1"/>
                <w:lang w:val="ka-GE"/>
              </w:rPr>
            </w:pPr>
            <w:r w:rsidRPr="004931F1">
              <w:rPr>
                <w:color w:val="000000" w:themeColor="text1"/>
                <w:lang w:val="ka-GE"/>
              </w:rPr>
              <w:t>10,149,821 (ზრდა 37.15%)</w:t>
            </w:r>
          </w:p>
        </w:tc>
      </w:tr>
    </w:tbl>
    <w:p w:rsidR="0065298D" w:rsidRPr="004931F1" w:rsidRDefault="0065298D" w:rsidP="0065298D">
      <w:pPr>
        <w:jc w:val="both"/>
        <w:rPr>
          <w:color w:val="000000" w:themeColor="text1"/>
          <w:lang w:val="ka-GE"/>
        </w:rPr>
      </w:pPr>
    </w:p>
    <w:p w:rsidR="0065298D" w:rsidRPr="00F80049" w:rsidRDefault="00876CB8" w:rsidP="009814BF">
      <w:pPr>
        <w:jc w:val="both"/>
        <w:rPr>
          <w:color w:val="000000" w:themeColor="text1"/>
          <w:lang w:val="ka-GE"/>
        </w:rPr>
      </w:pPr>
      <w:r w:rsidRPr="004931F1">
        <w:rPr>
          <w:color w:val="000000" w:themeColor="text1"/>
          <w:lang w:val="ka-GE"/>
        </w:rPr>
        <w:t xml:space="preserve">როგორც </w:t>
      </w:r>
      <w:r w:rsidR="00F14ECD">
        <w:rPr>
          <w:color w:val="000000" w:themeColor="text1"/>
          <w:lang w:val="ka-GE"/>
        </w:rPr>
        <w:t xml:space="preserve">სტატისტიკიდან ჩანს, </w:t>
      </w:r>
      <w:r w:rsidRPr="004931F1">
        <w:rPr>
          <w:color w:val="000000" w:themeColor="text1"/>
          <w:lang w:val="ka-GE"/>
        </w:rPr>
        <w:t xml:space="preserve"> საოპერაციო შედეგი </w:t>
      </w:r>
      <w:r w:rsidR="00F14ECD" w:rsidRPr="004931F1">
        <w:rPr>
          <w:color w:val="000000" w:themeColor="text1"/>
          <w:lang w:val="ka-GE"/>
        </w:rPr>
        <w:t>2016 წელ</w:t>
      </w:r>
      <w:r w:rsidR="00F14ECD">
        <w:rPr>
          <w:color w:val="000000" w:themeColor="text1"/>
          <w:lang w:val="ka-GE"/>
        </w:rPr>
        <w:t>თან შედარებით</w:t>
      </w:r>
      <w:r w:rsidR="00F14ECD">
        <w:rPr>
          <w:color w:val="000000" w:themeColor="text1"/>
          <w:lang w:val="ka-GE"/>
        </w:rPr>
        <w:t>,</w:t>
      </w:r>
      <w:r w:rsidR="00F14ECD">
        <w:rPr>
          <w:color w:val="000000" w:themeColor="text1"/>
          <w:lang w:val="ka-GE"/>
        </w:rPr>
        <w:t xml:space="preserve"> </w:t>
      </w:r>
      <w:r w:rsidR="00F14ECD" w:rsidRPr="004931F1">
        <w:rPr>
          <w:color w:val="000000" w:themeColor="text1"/>
          <w:lang w:val="ka-GE"/>
        </w:rPr>
        <w:t xml:space="preserve"> 2017 წელ</w:t>
      </w:r>
      <w:r w:rsidR="00F14ECD">
        <w:rPr>
          <w:color w:val="000000" w:themeColor="text1"/>
          <w:lang w:val="ka-GE"/>
        </w:rPr>
        <w:t xml:space="preserve">ს </w:t>
      </w:r>
      <w:r w:rsidR="00F14ECD" w:rsidRPr="004931F1">
        <w:rPr>
          <w:color w:val="000000" w:themeColor="text1"/>
          <w:lang w:val="ka-GE"/>
        </w:rPr>
        <w:t xml:space="preserve"> </w:t>
      </w:r>
      <w:r w:rsidRPr="004931F1">
        <w:rPr>
          <w:color w:val="000000" w:themeColor="text1"/>
          <w:lang w:val="ka-GE"/>
        </w:rPr>
        <w:t xml:space="preserve">მნიშვნელოვნად </w:t>
      </w:r>
      <w:r w:rsidR="00F14ECD">
        <w:rPr>
          <w:color w:val="000000" w:themeColor="text1"/>
          <w:lang w:val="ka-GE"/>
        </w:rPr>
        <w:t xml:space="preserve">გაუმჯობესებულია. </w:t>
      </w:r>
      <w:r w:rsidRPr="004931F1">
        <w:rPr>
          <w:color w:val="000000" w:themeColor="text1"/>
          <w:lang w:val="ka-GE"/>
        </w:rPr>
        <w:t xml:space="preserve"> </w:t>
      </w:r>
      <w:r w:rsidR="007C684F" w:rsidRPr="004931F1">
        <w:rPr>
          <w:color w:val="000000" w:themeColor="text1"/>
          <w:lang w:val="ka-GE"/>
        </w:rPr>
        <w:t xml:space="preserve">შესაბამისად, </w:t>
      </w:r>
      <w:r w:rsidR="009814BF" w:rsidRPr="004931F1">
        <w:rPr>
          <w:color w:val="000000" w:themeColor="text1"/>
          <w:lang w:val="ka-GE"/>
        </w:rPr>
        <w:t xml:space="preserve">2017 წელი </w:t>
      </w:r>
      <w:r w:rsidR="00F14ECD">
        <w:rPr>
          <w:color w:val="000000" w:themeColor="text1"/>
          <w:lang w:val="ka-GE"/>
        </w:rPr>
        <w:t xml:space="preserve">სადაზღვევო ინდუსტრიისთვის </w:t>
      </w:r>
      <w:r w:rsidR="009814BF" w:rsidRPr="004931F1">
        <w:rPr>
          <w:color w:val="000000" w:themeColor="text1"/>
          <w:lang w:val="ka-GE"/>
        </w:rPr>
        <w:t>ნაკლებადზარალიანია</w:t>
      </w:r>
      <w:r w:rsidR="007C684F" w:rsidRPr="004931F1">
        <w:rPr>
          <w:color w:val="000000" w:themeColor="text1"/>
          <w:lang w:val="ka-GE"/>
        </w:rPr>
        <w:t>,</w:t>
      </w:r>
      <w:r w:rsidR="009814BF" w:rsidRPr="004931F1">
        <w:rPr>
          <w:color w:val="000000" w:themeColor="text1"/>
          <w:lang w:val="ka-GE"/>
        </w:rPr>
        <w:t xml:space="preserve"> ვიდრე 2016-ის </w:t>
      </w:r>
      <w:r w:rsidR="007C684F" w:rsidRPr="004931F1">
        <w:rPr>
          <w:color w:val="000000" w:themeColor="text1"/>
          <w:lang w:val="ka-GE"/>
        </w:rPr>
        <w:t xml:space="preserve">იგივე </w:t>
      </w:r>
      <w:r w:rsidR="009814BF" w:rsidRPr="004931F1">
        <w:rPr>
          <w:color w:val="000000" w:themeColor="text1"/>
          <w:lang w:val="ka-GE"/>
        </w:rPr>
        <w:t>პერიოდ</w:t>
      </w:r>
      <w:r w:rsidR="00F14ECD">
        <w:rPr>
          <w:color w:val="000000" w:themeColor="text1"/>
          <w:lang w:val="ka-GE"/>
        </w:rPr>
        <w:t>შ</w:t>
      </w:r>
      <w:r w:rsidR="009814BF" w:rsidRPr="004931F1">
        <w:rPr>
          <w:color w:val="000000" w:themeColor="text1"/>
          <w:lang w:val="ka-GE"/>
        </w:rPr>
        <w:t xml:space="preserve">ი. </w:t>
      </w:r>
      <w:r w:rsidRPr="004931F1">
        <w:rPr>
          <w:color w:val="000000" w:themeColor="text1"/>
          <w:lang w:val="ka-GE"/>
        </w:rPr>
        <w:t>საოპერაციო შედეგის</w:t>
      </w:r>
      <w:r w:rsidR="009814BF" w:rsidRPr="004931F1">
        <w:rPr>
          <w:color w:val="000000" w:themeColor="text1"/>
          <w:lang w:val="ka-GE"/>
        </w:rPr>
        <w:t xml:space="preserve"> შემდგომი „გადამუშავების“ პროდუქტია მოგება. აქ უკვე კომპანიების დანახარჯების ოდენობაა განმსაზღვრელი</w:t>
      </w:r>
      <w:r w:rsidRPr="004931F1">
        <w:rPr>
          <w:color w:val="000000" w:themeColor="text1"/>
          <w:lang w:val="ka-GE"/>
        </w:rPr>
        <w:t xml:space="preserve"> -</w:t>
      </w:r>
      <w:r w:rsidR="007C684F" w:rsidRPr="004931F1">
        <w:rPr>
          <w:color w:val="000000" w:themeColor="text1"/>
          <w:lang w:val="ka-GE"/>
        </w:rPr>
        <w:t xml:space="preserve"> </w:t>
      </w:r>
      <w:r w:rsidR="009814BF" w:rsidRPr="004931F1">
        <w:rPr>
          <w:color w:val="000000" w:themeColor="text1"/>
          <w:lang w:val="ka-GE"/>
        </w:rPr>
        <w:t>ისეთი როგორ</w:t>
      </w:r>
      <w:r w:rsidR="007C684F" w:rsidRPr="004931F1">
        <w:rPr>
          <w:color w:val="000000" w:themeColor="text1"/>
          <w:lang w:val="ka-GE"/>
        </w:rPr>
        <w:t>ი</w:t>
      </w:r>
      <w:r w:rsidR="009814BF" w:rsidRPr="004931F1">
        <w:rPr>
          <w:color w:val="000000" w:themeColor="text1"/>
          <w:lang w:val="ka-GE"/>
        </w:rPr>
        <w:t>ცაა სახელფასო, სამეურნეო და ა.შ</w:t>
      </w:r>
      <w:r w:rsidRPr="004931F1">
        <w:rPr>
          <w:color w:val="000000" w:themeColor="text1"/>
          <w:lang w:val="ka-GE"/>
        </w:rPr>
        <w:t xml:space="preserve"> -მათი </w:t>
      </w:r>
      <w:r w:rsidR="009814BF" w:rsidRPr="004931F1">
        <w:rPr>
          <w:color w:val="000000" w:themeColor="text1"/>
          <w:lang w:val="ka-GE"/>
        </w:rPr>
        <w:t xml:space="preserve"> </w:t>
      </w:r>
      <w:r w:rsidRPr="004931F1">
        <w:rPr>
          <w:color w:val="000000" w:themeColor="text1"/>
          <w:lang w:val="ka-GE"/>
        </w:rPr>
        <w:t>გა</w:t>
      </w:r>
      <w:r w:rsidR="009814BF" w:rsidRPr="004931F1">
        <w:rPr>
          <w:color w:val="000000" w:themeColor="text1"/>
          <w:lang w:val="ka-GE"/>
        </w:rPr>
        <w:t xml:space="preserve">ზრდით </w:t>
      </w:r>
      <w:r w:rsidRPr="004931F1">
        <w:rPr>
          <w:color w:val="000000" w:themeColor="text1"/>
          <w:lang w:val="ka-GE"/>
        </w:rPr>
        <w:t xml:space="preserve">შესაძლებელია </w:t>
      </w:r>
      <w:r w:rsidR="009814BF" w:rsidRPr="004931F1">
        <w:rPr>
          <w:color w:val="000000" w:themeColor="text1"/>
          <w:lang w:val="ka-GE"/>
        </w:rPr>
        <w:t>მოგებ</w:t>
      </w:r>
      <w:r w:rsidR="005F5CF7" w:rsidRPr="004931F1">
        <w:rPr>
          <w:color w:val="000000" w:themeColor="text1"/>
          <w:lang w:val="ka-GE"/>
        </w:rPr>
        <w:t>ის მაჩვენებელ</w:t>
      </w:r>
      <w:r w:rsidRPr="004931F1">
        <w:rPr>
          <w:color w:val="000000" w:themeColor="text1"/>
          <w:lang w:val="ka-GE"/>
        </w:rPr>
        <w:t xml:space="preserve">ის შემცირება </w:t>
      </w:r>
      <w:r w:rsidR="009814BF" w:rsidRPr="004931F1">
        <w:rPr>
          <w:color w:val="000000" w:themeColor="text1"/>
          <w:lang w:val="ka-GE"/>
        </w:rPr>
        <w:t xml:space="preserve"> და ეს მხოლოდ </w:t>
      </w:r>
      <w:r w:rsidRPr="004931F1">
        <w:rPr>
          <w:color w:val="000000" w:themeColor="text1"/>
          <w:lang w:val="ka-GE"/>
        </w:rPr>
        <w:t>კომპანიის</w:t>
      </w:r>
      <w:r w:rsidR="009814BF" w:rsidRPr="004931F1">
        <w:rPr>
          <w:color w:val="000000" w:themeColor="text1"/>
          <w:lang w:val="ka-GE"/>
        </w:rPr>
        <w:t xml:space="preserve"> </w:t>
      </w:r>
      <w:r w:rsidRPr="004931F1">
        <w:rPr>
          <w:color w:val="000000" w:themeColor="text1"/>
          <w:lang w:val="ka-GE"/>
        </w:rPr>
        <w:t xml:space="preserve">აქციონერის სტრატეგიაზეა </w:t>
      </w:r>
      <w:r w:rsidR="005F5CF7" w:rsidRPr="004931F1">
        <w:rPr>
          <w:color w:val="000000" w:themeColor="text1"/>
          <w:lang w:val="ka-GE"/>
        </w:rPr>
        <w:t xml:space="preserve">დამოკიდებული. </w:t>
      </w:r>
      <w:r w:rsidRPr="004931F1">
        <w:rPr>
          <w:color w:val="000000" w:themeColor="text1"/>
          <w:lang w:val="ka-GE"/>
        </w:rPr>
        <w:t xml:space="preserve">თუმცა </w:t>
      </w:r>
      <w:r w:rsidR="009814BF" w:rsidRPr="004931F1">
        <w:rPr>
          <w:color w:val="000000" w:themeColor="text1"/>
          <w:lang w:val="ka-GE"/>
        </w:rPr>
        <w:t>საბოლოო</w:t>
      </w:r>
      <w:r w:rsidRPr="004931F1">
        <w:rPr>
          <w:color w:val="000000" w:themeColor="text1"/>
          <w:lang w:val="ka-GE"/>
        </w:rPr>
        <w:t xml:space="preserve"> -</w:t>
      </w:r>
      <w:r w:rsidR="009814BF" w:rsidRPr="004931F1">
        <w:rPr>
          <w:color w:val="000000" w:themeColor="text1"/>
          <w:lang w:val="ka-GE"/>
        </w:rPr>
        <w:t xml:space="preserve"> დაზუსტებულ პარამეტრებს</w:t>
      </w:r>
      <w:r w:rsidR="007C684F" w:rsidRPr="004931F1">
        <w:rPr>
          <w:color w:val="000000" w:themeColor="text1"/>
          <w:lang w:val="ka-GE"/>
        </w:rPr>
        <w:t>,</w:t>
      </w:r>
      <w:r w:rsidR="009814BF" w:rsidRPr="004931F1">
        <w:rPr>
          <w:color w:val="000000" w:themeColor="text1"/>
          <w:lang w:val="ka-GE"/>
        </w:rPr>
        <w:t xml:space="preserve"> ცხადია</w:t>
      </w:r>
      <w:r w:rsidR="007C684F" w:rsidRPr="004931F1">
        <w:rPr>
          <w:color w:val="000000" w:themeColor="text1"/>
          <w:lang w:val="ka-GE"/>
        </w:rPr>
        <w:t>,</w:t>
      </w:r>
      <w:r w:rsidR="009814BF" w:rsidRPr="004931F1">
        <w:rPr>
          <w:color w:val="000000" w:themeColor="text1"/>
          <w:lang w:val="ka-GE"/>
        </w:rPr>
        <w:t xml:space="preserve"> წლის ბოლოს შევაჯერებთ.</w:t>
      </w:r>
      <w:r w:rsidR="009814BF" w:rsidRPr="00F80049">
        <w:rPr>
          <w:color w:val="000000" w:themeColor="text1"/>
          <w:lang w:val="ka-GE"/>
        </w:rPr>
        <w:t xml:space="preserve"> </w:t>
      </w:r>
    </w:p>
    <w:p w:rsidR="0013154D" w:rsidRDefault="004931F1" w:rsidP="00464682">
      <w:pPr>
        <w:jc w:val="both"/>
        <w:rPr>
          <w:lang w:val="ka-GE"/>
        </w:rPr>
      </w:pPr>
      <w:r>
        <w:rPr>
          <w:lang w:val="ka-GE"/>
        </w:rPr>
        <w:t xml:space="preserve"> </w:t>
      </w:r>
      <w:r w:rsidR="00212DB1" w:rsidRPr="005F5CF7">
        <w:rPr>
          <w:lang w:val="ka-GE"/>
        </w:rPr>
        <w:t xml:space="preserve">გამომდინარე ზემოაღნიშნულიდან, </w:t>
      </w:r>
      <w:r>
        <w:rPr>
          <w:lang w:val="ka-GE"/>
        </w:rPr>
        <w:t>ნათლად ჩანს</w:t>
      </w:r>
      <w:r w:rsidR="00F14ECD">
        <w:rPr>
          <w:lang w:val="ka-GE"/>
        </w:rPr>
        <w:t>,</w:t>
      </w:r>
      <w:r>
        <w:rPr>
          <w:lang w:val="ka-GE"/>
        </w:rPr>
        <w:t xml:space="preserve"> </w:t>
      </w:r>
      <w:r w:rsidR="00212DB1" w:rsidRPr="005F5CF7">
        <w:rPr>
          <w:lang w:val="ka-GE"/>
        </w:rPr>
        <w:t xml:space="preserve"> </w:t>
      </w:r>
      <w:r>
        <w:rPr>
          <w:lang w:val="ka-GE"/>
        </w:rPr>
        <w:t xml:space="preserve">რომ </w:t>
      </w:r>
      <w:r w:rsidR="00717989" w:rsidRPr="005F5CF7">
        <w:rPr>
          <w:lang w:val="ka-GE"/>
        </w:rPr>
        <w:t xml:space="preserve">სტატიაში გამოხატული პოზიცია, </w:t>
      </w:r>
      <w:r w:rsidR="00212DB1" w:rsidRPr="005F5CF7">
        <w:rPr>
          <w:lang w:val="ka-GE"/>
        </w:rPr>
        <w:t>თითქოს ჯანდაცვის სახელმწიფო პროგრამები აზარალებს ბიზნეს სექტორს და მოქალაქეებს</w:t>
      </w:r>
      <w:r>
        <w:rPr>
          <w:lang w:val="ka-GE"/>
        </w:rPr>
        <w:t xml:space="preserve">, არ ასახავს რეალობას. </w:t>
      </w:r>
      <w:r w:rsidR="005F5CF7" w:rsidRPr="005F5CF7">
        <w:rPr>
          <w:lang w:val="ka-GE"/>
        </w:rPr>
        <w:t>სწორედ სახელმწიფო პროგრამების მეშვეობით გახდა შესაძლებელი უამრავი ადამიანის სიცოცხლისა და ჯანმრთელობის შ</w:t>
      </w:r>
      <w:r w:rsidR="00F80049">
        <w:rPr>
          <w:lang w:val="ka-GE"/>
        </w:rPr>
        <w:t>ე</w:t>
      </w:r>
      <w:r w:rsidR="005F5CF7" w:rsidRPr="005F5CF7">
        <w:rPr>
          <w:lang w:val="ka-GE"/>
        </w:rPr>
        <w:t>ნარჩუნება.</w:t>
      </w:r>
    </w:p>
    <w:p w:rsidR="00F14ECD" w:rsidRDefault="004931F1" w:rsidP="00464682">
      <w:pPr>
        <w:jc w:val="both"/>
        <w:rPr>
          <w:lang w:val="ka-GE"/>
        </w:rPr>
      </w:pPr>
      <w:r>
        <w:rPr>
          <w:lang w:val="ka-GE"/>
        </w:rPr>
        <w:t xml:space="preserve">საყოველთაო ჯანდაცვის პროგრამა აუცილებლად გაგრძელდება და კიდევ უფრო მორგებული იქნება საზოგადოების საჭიროებებზე. </w:t>
      </w:r>
      <w:r w:rsidRPr="005F5CF7">
        <w:rPr>
          <w:lang w:val="ka-GE"/>
        </w:rPr>
        <w:t xml:space="preserve"> </w:t>
      </w:r>
    </w:p>
    <w:p w:rsidR="005F5CF7" w:rsidRPr="005F5CF7" w:rsidRDefault="0075337D" w:rsidP="00464682">
      <w:pPr>
        <w:jc w:val="both"/>
        <w:rPr>
          <w:lang w:val="ka-GE"/>
        </w:rPr>
      </w:pPr>
      <w:r>
        <w:rPr>
          <w:lang w:val="ka-GE"/>
        </w:rPr>
        <w:t xml:space="preserve">ამასთან, </w:t>
      </w:r>
      <w:bookmarkStart w:id="0" w:name="_GoBack"/>
      <w:bookmarkEnd w:id="0"/>
      <w:r w:rsidR="00F14ECD" w:rsidRPr="005F5CF7">
        <w:rPr>
          <w:lang w:val="ka-GE"/>
        </w:rPr>
        <w:t>ჯანდაცვის სამინისტრო მზად არის გააგრძელოს ნაყოფიერი  პარტნიორობა ბიზნეს სექტორთან, რათა დაცული იყო ყოველი მოქალაქის ჯანმრთელობის უფლება.</w:t>
      </w:r>
    </w:p>
    <w:p w:rsidR="009F07EB" w:rsidRPr="004931F1" w:rsidRDefault="009F07EB" w:rsidP="00464682">
      <w:pPr>
        <w:jc w:val="both"/>
        <w:rPr>
          <w:lang w:val="ka-GE"/>
        </w:rPr>
      </w:pPr>
      <w:r w:rsidRPr="004931F1">
        <w:rPr>
          <w:lang w:val="ka-GE"/>
        </w:rPr>
        <w:t xml:space="preserve">ჩვენთვის საინტერესოა იმის ცოდნაც, რამდენად ემთხვევა </w:t>
      </w:r>
      <w:r w:rsidR="00717989" w:rsidRPr="004931F1">
        <w:rPr>
          <w:lang w:val="ka-GE"/>
        </w:rPr>
        <w:t xml:space="preserve">სტატიაში </w:t>
      </w:r>
      <w:r w:rsidR="00F14ECD">
        <w:rPr>
          <w:lang w:val="ka-GE"/>
        </w:rPr>
        <w:t>გამოთ</w:t>
      </w:r>
      <w:r w:rsidR="00717989" w:rsidRPr="004931F1">
        <w:rPr>
          <w:lang w:val="ka-GE"/>
        </w:rPr>
        <w:t xml:space="preserve">ქმული </w:t>
      </w:r>
      <w:r w:rsidRPr="004931F1">
        <w:rPr>
          <w:lang w:val="ka-GE"/>
        </w:rPr>
        <w:t xml:space="preserve">პოზიცია სადაზღვევო კომპანიების პოზიციას. </w:t>
      </w:r>
    </w:p>
    <w:p w:rsidR="00971CAD" w:rsidRDefault="00971CAD" w:rsidP="0011622D">
      <w:pPr>
        <w:jc w:val="both"/>
        <w:rPr>
          <w:lang w:val="ka-GE"/>
        </w:rPr>
      </w:pPr>
    </w:p>
    <w:p w:rsidR="0011622D" w:rsidRPr="00A87A34" w:rsidRDefault="0011622D" w:rsidP="00464682">
      <w:pPr>
        <w:jc w:val="both"/>
        <w:rPr>
          <w:lang w:val="ka-GE"/>
        </w:rPr>
      </w:pPr>
    </w:p>
    <w:p w:rsidR="00941211" w:rsidRPr="00464682" w:rsidRDefault="00941211">
      <w:pPr>
        <w:rPr>
          <w:lang w:val="ka-GE"/>
        </w:rPr>
      </w:pPr>
    </w:p>
    <w:sectPr w:rsidR="00941211" w:rsidRPr="0046468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45"/>
    <w:rsid w:val="00050E59"/>
    <w:rsid w:val="0011622D"/>
    <w:rsid w:val="0013154D"/>
    <w:rsid w:val="00133193"/>
    <w:rsid w:val="00165C03"/>
    <w:rsid w:val="00212DB1"/>
    <w:rsid w:val="00267A5A"/>
    <w:rsid w:val="00287C30"/>
    <w:rsid w:val="003272C3"/>
    <w:rsid w:val="0046127B"/>
    <w:rsid w:val="00464682"/>
    <w:rsid w:val="004931F1"/>
    <w:rsid w:val="004C4AC9"/>
    <w:rsid w:val="005A0553"/>
    <w:rsid w:val="005C27DB"/>
    <w:rsid w:val="005E539F"/>
    <w:rsid w:val="005F5CF7"/>
    <w:rsid w:val="00604C55"/>
    <w:rsid w:val="00624DC4"/>
    <w:rsid w:val="0065298D"/>
    <w:rsid w:val="006B43CC"/>
    <w:rsid w:val="006E544B"/>
    <w:rsid w:val="006F2037"/>
    <w:rsid w:val="006F72B4"/>
    <w:rsid w:val="00717989"/>
    <w:rsid w:val="0075337D"/>
    <w:rsid w:val="007924DD"/>
    <w:rsid w:val="007C4A45"/>
    <w:rsid w:val="007C684F"/>
    <w:rsid w:val="00876CB8"/>
    <w:rsid w:val="00893A48"/>
    <w:rsid w:val="008E34F7"/>
    <w:rsid w:val="00941211"/>
    <w:rsid w:val="00947A96"/>
    <w:rsid w:val="00971CAD"/>
    <w:rsid w:val="009814BF"/>
    <w:rsid w:val="009F07EB"/>
    <w:rsid w:val="00A16EBA"/>
    <w:rsid w:val="00A311D1"/>
    <w:rsid w:val="00B00C98"/>
    <w:rsid w:val="00B52F11"/>
    <w:rsid w:val="00B73FBD"/>
    <w:rsid w:val="00C33E6C"/>
    <w:rsid w:val="00CB3BF3"/>
    <w:rsid w:val="00D86720"/>
    <w:rsid w:val="00D90A88"/>
    <w:rsid w:val="00E648B8"/>
    <w:rsid w:val="00EA135A"/>
    <w:rsid w:val="00EC7997"/>
    <w:rsid w:val="00F14ECD"/>
    <w:rsid w:val="00F52E9F"/>
    <w:rsid w:val="00F80049"/>
    <w:rsid w:val="00FB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682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3A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682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3A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h.gov.ge/ka/news/3633/-daviT-sergeenko-sadazRvevo-industriis-warmomadgenlebs-Sexvda" TargetMode="External"/><Relationship Id="rId5" Type="http://schemas.openxmlformats.org/officeDocument/2006/relationships/hyperlink" Target="http://www.moh.gov.ge/ka/news/2905/-cvlilebebi-sayovelTao-jandacvis-programaSi--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Maia Tabagari</cp:lastModifiedBy>
  <cp:revision>11</cp:revision>
  <cp:lastPrinted>2017-09-04T07:20:00Z</cp:lastPrinted>
  <dcterms:created xsi:type="dcterms:W3CDTF">2017-09-04T08:19:00Z</dcterms:created>
  <dcterms:modified xsi:type="dcterms:W3CDTF">2017-09-05T08:45:00Z</dcterms:modified>
</cp:coreProperties>
</file>